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rPr>
          <w:rFonts w:ascii="Calibri" w:hAnsi="Calibri"/>
          <w:sz w:val="24"/>
        </w:rPr>
      </w:pPr>
    </w:p>
    <w:p w14:paraId="02000000">
      <w:pPr>
        <w:ind w:firstLine="567" w:left="0"/>
        <w:jc w:val="right"/>
        <w:outlineLvl w:val="0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Приложение 1</w:t>
      </w:r>
    </w:p>
    <w:p w14:paraId="03000000">
      <w:pPr>
        <w:ind/>
        <w:jc w:val="right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к Положению о членстве </w:t>
      </w:r>
      <w:r>
        <w:rPr>
          <w:b w:val="0"/>
          <w:color w:val="000000"/>
          <w:sz w:val="24"/>
        </w:rPr>
        <w:t>в</w:t>
      </w:r>
      <w:r>
        <w:rPr>
          <w:b w:val="0"/>
          <w:color w:val="000000"/>
          <w:sz w:val="24"/>
        </w:rPr>
        <w:t xml:space="preserve"> </w:t>
      </w:r>
    </w:p>
    <w:p w14:paraId="04000000">
      <w:pPr>
        <w:ind/>
        <w:jc w:val="right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Саморегулируемой</w:t>
      </w:r>
      <w:r>
        <w:rPr>
          <w:b w:val="0"/>
          <w:color w:val="000000"/>
          <w:sz w:val="24"/>
        </w:rPr>
        <w:t xml:space="preserve"> о</w:t>
      </w:r>
      <w:r>
        <w:rPr>
          <w:b w:val="0"/>
          <w:color w:val="000000"/>
          <w:sz w:val="24"/>
        </w:rPr>
        <w:t xml:space="preserve">рганизации </w:t>
      </w:r>
    </w:p>
    <w:p w14:paraId="05000000">
      <w:pPr>
        <w:ind/>
        <w:jc w:val="right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Ассоциации «Национальное объединение </w:t>
      </w:r>
    </w:p>
    <w:p w14:paraId="06000000">
      <w:pPr>
        <w:ind/>
        <w:jc w:val="right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специалистов стоимостного инжиниринга»</w:t>
      </w:r>
    </w:p>
    <w:p w14:paraId="07000000">
      <w:pPr>
        <w:spacing w:after="200" w:line="276" w:lineRule="auto"/>
        <w:ind/>
        <w:rPr>
          <w:rFonts w:ascii="Calibri" w:hAnsi="Calibri"/>
          <w:b w:val="0"/>
          <w:color w:val="000000"/>
          <w:sz w:val="24"/>
        </w:rPr>
      </w:pPr>
    </w:p>
    <w:p w14:paraId="08000000">
      <w:pPr>
        <w:spacing w:after="200" w:line="276" w:lineRule="auto"/>
        <w:ind/>
        <w:rPr>
          <w:rFonts w:ascii="Calibri" w:hAnsi="Calibri"/>
          <w:b w:val="0"/>
          <w:color w:val="000000"/>
          <w:sz w:val="24"/>
        </w:rPr>
      </w:pPr>
    </w:p>
    <w:p w14:paraId="09000000">
      <w:pPr>
        <w:spacing w:after="0" w:line="240" w:lineRule="auto"/>
        <w:ind/>
        <w:jc w:val="center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ПЕРЕЧЕНЬ</w:t>
      </w:r>
      <w:r>
        <w:rPr>
          <w:b w:val="0"/>
          <w:color w:val="000000"/>
          <w:sz w:val="24"/>
        </w:rPr>
        <w:t xml:space="preserve"> </w:t>
      </w:r>
    </w:p>
    <w:p w14:paraId="0A000000">
      <w:pPr>
        <w:spacing w:after="0" w:line="240" w:lineRule="auto"/>
        <w:ind/>
        <w:jc w:val="center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видов работ и услуг в сфере стоимостного инжиниринга</w:t>
      </w:r>
      <w:r>
        <w:rPr>
          <w:b w:val="0"/>
          <w:color w:val="000000"/>
          <w:sz w:val="24"/>
        </w:rPr>
        <w:t xml:space="preserve">, </w:t>
      </w:r>
    </w:p>
    <w:p w14:paraId="0B000000">
      <w:pPr>
        <w:spacing w:after="200" w:line="276" w:lineRule="auto"/>
        <w:ind/>
        <w:jc w:val="center"/>
        <w:rPr>
          <w:rFonts w:ascii="Calibri" w:hAnsi="Calibri"/>
          <w:b w:val="0"/>
          <w:color w:val="000000"/>
          <w:sz w:val="24"/>
        </w:rPr>
      </w:pPr>
      <w:r>
        <w:rPr>
          <w:b w:val="0"/>
          <w:color w:val="000000"/>
          <w:sz w:val="24"/>
        </w:rPr>
        <w:t xml:space="preserve">Свидетельство о </w:t>
      </w:r>
      <w:r>
        <w:rPr>
          <w:b w:val="0"/>
          <w:color w:val="000000"/>
          <w:sz w:val="24"/>
        </w:rPr>
        <w:t>допуске,</w:t>
      </w:r>
      <w:r>
        <w:rPr>
          <w:b w:val="0"/>
          <w:color w:val="000000"/>
          <w:sz w:val="24"/>
        </w:rPr>
        <w:t xml:space="preserve"> к которым выдается членам Ассоциации</w:t>
      </w:r>
    </w:p>
    <w:p w14:paraId="0C000000">
      <w:pPr>
        <w:spacing w:after="200" w:line="276" w:lineRule="auto"/>
        <w:ind/>
        <w:rPr>
          <w:rFonts w:ascii="Calibri" w:hAnsi="Calibri"/>
          <w:b w:val="0"/>
          <w:color w:val="000000"/>
          <w:sz w:val="24"/>
        </w:rPr>
      </w:pPr>
    </w:p>
    <w:p w14:paraId="0D000000">
      <w:pPr>
        <w:numPr>
          <w:ilvl w:val="0"/>
          <w:numId w:val="1"/>
        </w:numPr>
        <w:spacing w:after="120" w:before="120" w:line="240" w:lineRule="auto"/>
        <w:ind w:hanging="360" w:left="720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Разработка сметны</w:t>
      </w:r>
      <w:r>
        <w:rPr>
          <w:b w:val="0"/>
          <w:color w:val="000000"/>
          <w:sz w:val="24"/>
        </w:rPr>
        <w:t>х норм на строительные, специальные строительные, ремонтно-строительные, пусконаладочные работы, работы по монтажу оборудования.</w:t>
      </w:r>
    </w:p>
    <w:p w14:paraId="0E000000">
      <w:pPr>
        <w:numPr>
          <w:ilvl w:val="0"/>
          <w:numId w:val="1"/>
        </w:numPr>
        <w:spacing w:after="120" w:before="120" w:line="240" w:lineRule="auto"/>
        <w:ind w:hanging="360" w:left="720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Разработка укрупненных нормативов цены строительства.</w:t>
      </w:r>
    </w:p>
    <w:p w14:paraId="0F000000">
      <w:pPr>
        <w:numPr>
          <w:ilvl w:val="0"/>
          <w:numId w:val="1"/>
        </w:numPr>
        <w:spacing w:after="120" w:before="120" w:line="240" w:lineRule="auto"/>
        <w:ind w:hanging="360" w:left="720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Формирование предполагаемой (предельной) стоимости строительства.</w:t>
      </w:r>
    </w:p>
    <w:p w14:paraId="10000000">
      <w:pPr>
        <w:numPr>
          <w:ilvl w:val="0"/>
          <w:numId w:val="1"/>
        </w:numPr>
        <w:spacing w:after="120" w:before="120" w:line="240" w:lineRule="auto"/>
        <w:ind w:hanging="360" w:left="720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Разработка сметной документации на работы по строительству, реконструкции, капитальному ремонту, сносу объектов капитального строительства, работы по сохранению объектов культурного наследия.</w:t>
      </w:r>
    </w:p>
    <w:p w14:paraId="11000000">
      <w:pPr>
        <w:numPr>
          <w:ilvl w:val="0"/>
          <w:numId w:val="1"/>
        </w:numPr>
        <w:spacing w:after="120" w:before="120" w:line="240" w:lineRule="auto"/>
        <w:ind w:hanging="360" w:left="720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Определение начальной (максимальной) цены договора подряда (контракта) при осуществлении закупок в сфере градостроительной деятельности.</w:t>
      </w:r>
    </w:p>
    <w:p w14:paraId="12000000">
      <w:pPr>
        <w:spacing w:after="120" w:before="120" w:line="240" w:lineRule="auto"/>
        <w:ind w:firstLine="0" w:left="720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Составление проекта сметы договора (контракта) на выполнение подрядных работ в сфере градостроительной деятельности.</w:t>
      </w:r>
    </w:p>
    <w:p w14:paraId="13000000">
      <w:pPr>
        <w:numPr>
          <w:ilvl w:val="0"/>
          <w:numId w:val="1"/>
        </w:numPr>
        <w:spacing w:after="120" w:before="120" w:line="240" w:lineRule="auto"/>
        <w:ind w:hanging="360" w:left="720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Выполнение работ по мониторингу цен строительных ресурсов.</w:t>
      </w:r>
    </w:p>
    <w:p w14:paraId="14000000">
      <w:pPr>
        <w:numPr>
          <w:ilvl w:val="0"/>
          <w:numId w:val="1"/>
        </w:numPr>
        <w:spacing w:after="120" w:before="120" w:line="240" w:lineRule="auto"/>
        <w:ind w:hanging="360" w:left="720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Проверка сметной стоимости строительства, реконструкции, капитального ремонта, сноса объектов капитального строительства, работ по сохранению объектов культурного наследия.</w:t>
      </w:r>
    </w:p>
    <w:p w14:paraId="15000000">
      <w:pPr>
        <w:numPr>
          <w:ilvl w:val="0"/>
          <w:numId w:val="1"/>
        </w:numPr>
        <w:spacing w:after="120" w:before="120" w:line="240" w:lineRule="auto"/>
        <w:ind w:hanging="360" w:left="720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Подготовка дефектного акта и ведомости объемов работ для определения сметной стоимости ремонтно-строительных работ в сфере градостроительной деятельности.</w:t>
      </w:r>
    </w:p>
    <w:p w14:paraId="16000000">
      <w:pPr>
        <w:numPr>
          <w:ilvl w:val="0"/>
          <w:numId w:val="1"/>
        </w:numPr>
        <w:spacing w:after="120" w:before="120" w:line="240" w:lineRule="auto"/>
        <w:ind w:hanging="360" w:left="720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Определение стоимости работ по инженерным изысканиям, по подготовке проектной документации.</w:t>
      </w:r>
    </w:p>
    <w:p w14:paraId="17000000">
      <w:pPr>
        <w:numPr>
          <w:ilvl w:val="0"/>
          <w:numId w:val="1"/>
        </w:numPr>
        <w:spacing w:after="120" w:before="120" w:line="240" w:lineRule="auto"/>
        <w:ind w:hanging="360" w:left="720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Определение сметной стоимости видов работ, нерегламентированных законодательством о градостроительной деятельности.</w:t>
      </w:r>
    </w:p>
    <w:p w14:paraId="18000000">
      <w:pPr>
        <w:numPr>
          <w:ilvl w:val="0"/>
          <w:numId w:val="1"/>
        </w:numPr>
        <w:spacing w:after="120" w:before="120" w:line="240" w:lineRule="auto"/>
        <w:ind w:hanging="360" w:left="720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Оказание консультационных услуг по вопросам строительного ценообразования и сметного нормирования в сфере градостроительной деятельности.</w:t>
      </w:r>
    </w:p>
    <w:p w14:paraId="19000000">
      <w:pPr>
        <w:numPr>
          <w:ilvl w:val="0"/>
          <w:numId w:val="1"/>
        </w:numPr>
        <w:spacing w:after="120" w:before="120" w:line="240" w:lineRule="auto"/>
        <w:ind w:hanging="360" w:left="720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Проверка стоимости работ по инженерным изысканиям, по подготовке проектной документации.</w:t>
      </w:r>
    </w:p>
    <w:p w14:paraId="1A000000">
      <w:pPr>
        <w:numPr>
          <w:ilvl w:val="0"/>
          <w:numId w:val="1"/>
        </w:numPr>
        <w:spacing w:after="120" w:before="120" w:line="240" w:lineRule="auto"/>
        <w:ind w:hanging="360" w:left="720"/>
        <w:jc w:val="both"/>
        <w:rPr>
          <w:b w:val="0"/>
          <w:color w:val="000000"/>
          <w:sz w:val="24"/>
        </w:rPr>
      </w:pPr>
      <w:r>
        <w:rPr>
          <w:b w:val="0"/>
          <w:color w:val="000000"/>
          <w:sz w:val="24"/>
        </w:rPr>
        <w:t>Технические, расчетные и стоимостные исследования строительных объектов, видов работ и территории, функционально связанной с ними.</w:t>
      </w:r>
    </w:p>
    <w:p w14:paraId="1B000000">
      <w:pPr>
        <w:pStyle w:val="Style_1"/>
      </w:pPr>
    </w:p>
    <w:sectPr>
      <w:pgSz w:h="16838" w:orient="portrait" w:w="11906"/>
      <w:pgMar w:bottom="1134" w:left="1304" w:right="737" w:top="1134"/>
      <w:pgNumType w:fmt="decimal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pPr>
        <w:ind w:hanging="360" w:left="720"/>
      </w:pPr>
    </w:lvl>
    <w:lvl w:ilvl="1">
      <w:start w:val="1"/>
      <w:numFmt w:val="lowerLetter"/>
      <w:lvlText w:val="%2.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360" w:left="2160"/>
      </w:pPr>
    </w:lvl>
    <w:lvl w:ilvl="3">
      <w:start w:val="1"/>
      <w:numFmt w:val="decimal"/>
      <w:lvlText w:val="%4."/>
      <w:pPr>
        <w:ind w:hanging="360" w:left="2880"/>
      </w:pPr>
    </w:lvl>
    <w:lvl w:ilvl="4">
      <w:start w:val="1"/>
      <w:numFmt w:val="lowerLetter"/>
      <w:lvlText w:val="%5.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360" w:left="4320"/>
      </w:pPr>
    </w:lvl>
    <w:lvl w:ilvl="6">
      <w:start w:val="1"/>
      <w:numFmt w:val="decimal"/>
      <w:lvlText w:val="%7."/>
      <w:pPr>
        <w:ind w:hanging="360" w:left="5040"/>
      </w:pPr>
    </w:lvl>
    <w:lvl w:ilvl="7">
      <w:start w:val="1"/>
      <w:numFmt w:val="lowerLetter"/>
      <w:lvlText w:val="%8.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360" w:left="6480"/>
      </w:pPr>
    </w:lvl>
  </w:abstractNum>
  <w:num w:numId="1">
    <w:abstractNumId w:val="0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XO Thames" w:hAnsi="XO Thames"/>
        <w:color w:val="000000"/>
        <w:spacing w:val="0"/>
        <w:sz w:val="24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  <w:pPr>
      <w:spacing w:line="240" w:lineRule="auto"/>
      <w:ind/>
      <w:jc w:val="both"/>
    </w:pPr>
    <w:rPr>
      <w:rFonts w:ascii="XO Thames" w:hAnsi="XO Thames"/>
      <w:sz w:val="28"/>
    </w:rPr>
  </w:style>
  <w:style w:default="1" w:styleId="Style_1_ch" w:type="character">
    <w:name w:val="Normal"/>
    <w:link w:val="Style_1"/>
    <w:rPr>
      <w:rFonts w:ascii="XO Thames" w:hAnsi="XO Thames"/>
      <w:sz w:val="28"/>
    </w:rPr>
  </w:style>
  <w:style w:styleId="Style_2" w:type="paragraph">
    <w:name w:val="toc 2"/>
    <w:next w:val="Style_1"/>
    <w:link w:val="Style_2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toc 6"/>
    <w:next w:val="Style_1"/>
    <w:link w:val="Style_4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4_ch" w:type="character">
    <w:name w:val="toc 6"/>
    <w:link w:val="Style_4"/>
    <w:rPr>
      <w:rFonts w:ascii="XO Thames" w:hAnsi="XO Thames"/>
      <w:sz w:val="28"/>
    </w:rPr>
  </w:style>
  <w:style w:styleId="Style_5" w:type="paragraph">
    <w:name w:val="toc 7"/>
    <w:next w:val="Style_1"/>
    <w:link w:val="Style_5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5_ch" w:type="character">
    <w:name w:val="toc 7"/>
    <w:link w:val="Style_5"/>
    <w:rPr>
      <w:rFonts w:ascii="XO Thames" w:hAnsi="XO Thames"/>
      <w:sz w:val="28"/>
    </w:rPr>
  </w:style>
  <w:style w:styleId="Style_6" w:type="paragraph">
    <w:name w:val="heading 3"/>
    <w:next w:val="Style_1"/>
    <w:link w:val="Style_6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6_ch" w:type="character">
    <w:name w:val="heading 3"/>
    <w:link w:val="Style_6"/>
    <w:rPr>
      <w:rFonts w:ascii="XO Thames" w:hAnsi="XO Thames"/>
      <w:b w:val="1"/>
      <w:sz w:val="26"/>
    </w:rPr>
  </w:style>
  <w:style w:styleId="Style_7" w:type="paragraph">
    <w:name w:val="toc 3"/>
    <w:next w:val="Style_1"/>
    <w:link w:val="Style_7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7_ch" w:type="character">
    <w:name w:val="toc 3"/>
    <w:link w:val="Style_7"/>
    <w:rPr>
      <w:rFonts w:ascii="XO Thames" w:hAnsi="XO Thames"/>
      <w:sz w:val="28"/>
    </w:rPr>
  </w:style>
  <w:style w:styleId="Style_8" w:type="paragraph">
    <w:name w:val="heading 5"/>
    <w:next w:val="Style_1"/>
    <w:link w:val="Style_8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8_ch" w:type="character">
    <w:name w:val="heading 5"/>
    <w:link w:val="Style_8"/>
    <w:rPr>
      <w:rFonts w:ascii="XO Thames" w:hAnsi="XO Thames"/>
      <w:b w:val="1"/>
      <w:sz w:val="22"/>
    </w:rPr>
  </w:style>
  <w:style w:styleId="Style_9" w:type="paragraph">
    <w:name w:val="heading 1"/>
    <w:next w:val="Style_1"/>
    <w:link w:val="Style_9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9_ch" w:type="character">
    <w:name w:val="heading 1"/>
    <w:link w:val="Style_9"/>
    <w:rPr>
      <w:rFonts w:ascii="XO Thames" w:hAnsi="XO Thames"/>
      <w:b w:val="1"/>
      <w:sz w:val="32"/>
    </w:rPr>
  </w:style>
  <w:style w:styleId="Style_10" w:type="paragraph">
    <w:name w:val="Hyperlink"/>
    <w:link w:val="Style_10_ch"/>
    <w:rPr>
      <w:color w:val="0000FF"/>
      <w:u w:val="single"/>
    </w:rPr>
  </w:style>
  <w:style w:styleId="Style_10_ch" w:type="character">
    <w:name w:val="Hyperlink"/>
    <w:link w:val="Style_10"/>
    <w:rPr>
      <w:color w:val="0000FF"/>
      <w:u w:val="single"/>
    </w:rPr>
  </w:style>
  <w:style w:styleId="Style_11" w:type="paragraph">
    <w:name w:val="Footnote"/>
    <w:link w:val="Style_11_ch"/>
    <w:pPr>
      <w:ind w:firstLine="851" w:left="0"/>
      <w:jc w:val="both"/>
    </w:pPr>
    <w:rPr>
      <w:rFonts w:ascii="XO Thames" w:hAnsi="XO Thames"/>
      <w:sz w:val="22"/>
    </w:rPr>
  </w:style>
  <w:style w:styleId="Style_11_ch" w:type="character">
    <w:name w:val="Footnote"/>
    <w:link w:val="Style_11"/>
    <w:rPr>
      <w:rFonts w:ascii="XO Thames" w:hAnsi="XO Thames"/>
      <w:sz w:val="22"/>
    </w:rPr>
  </w:style>
  <w:style w:styleId="Style_12" w:type="paragraph">
    <w:name w:val="toc 1"/>
    <w:next w:val="Style_1"/>
    <w:link w:val="Style_12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2_ch" w:type="character">
    <w:name w:val="toc 1"/>
    <w:link w:val="Style_12"/>
    <w:rPr>
      <w:rFonts w:ascii="XO Thames" w:hAnsi="XO Thames"/>
      <w:b w:val="1"/>
      <w:sz w:val="28"/>
    </w:rPr>
  </w:style>
  <w:style w:styleId="Style_13" w:type="paragraph">
    <w:name w:val="Header and Footer"/>
    <w:link w:val="Style_13_ch"/>
    <w:pPr>
      <w:spacing w:line="240" w:lineRule="auto"/>
      <w:ind/>
      <w:jc w:val="both"/>
    </w:pPr>
    <w:rPr>
      <w:rFonts w:ascii="XO Thames" w:hAnsi="XO Thames"/>
      <w:sz w:val="20"/>
    </w:rPr>
  </w:style>
  <w:style w:styleId="Style_13_ch" w:type="character">
    <w:name w:val="Header and Footer"/>
    <w:link w:val="Style_13"/>
    <w:rPr>
      <w:rFonts w:ascii="XO Thames" w:hAnsi="XO Thames"/>
      <w:sz w:val="20"/>
    </w:rPr>
  </w:style>
  <w:style w:styleId="Style_14" w:type="paragraph">
    <w:name w:val="toc 9"/>
    <w:next w:val="Style_1"/>
    <w:link w:val="Style_14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14_ch" w:type="character">
    <w:name w:val="toc 9"/>
    <w:link w:val="Style_14"/>
    <w:rPr>
      <w:rFonts w:ascii="XO Thames" w:hAnsi="XO Thames"/>
      <w:sz w:val="28"/>
    </w:rPr>
  </w:style>
  <w:style w:styleId="Style_15" w:type="paragraph">
    <w:name w:val="toc 8"/>
    <w:next w:val="Style_1"/>
    <w:link w:val="Style_15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15_ch" w:type="character">
    <w:name w:val="toc 8"/>
    <w:link w:val="Style_15"/>
    <w:rPr>
      <w:rFonts w:ascii="XO Thames" w:hAnsi="XO Thames"/>
      <w:sz w:val="28"/>
    </w:rPr>
  </w:style>
  <w:style w:styleId="Style_16" w:type="paragraph">
    <w:name w:val="toc 5"/>
    <w:next w:val="Style_1"/>
    <w:link w:val="Style_16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16_ch" w:type="character">
    <w:name w:val="toc 5"/>
    <w:link w:val="Style_16"/>
    <w:rPr>
      <w:rFonts w:ascii="XO Thames" w:hAnsi="XO Thames"/>
      <w:sz w:val="28"/>
    </w:rPr>
  </w:style>
  <w:style w:styleId="Style_17" w:type="paragraph">
    <w:name w:val="Subtitle"/>
    <w:next w:val="Style_1"/>
    <w:link w:val="Style_17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17_ch" w:type="character">
    <w:name w:val="Subtitle"/>
    <w:link w:val="Style_17"/>
    <w:rPr>
      <w:rFonts w:ascii="XO Thames" w:hAnsi="XO Thames"/>
      <w:i w:val="1"/>
      <w:sz w:val="24"/>
    </w:rPr>
  </w:style>
  <w:style w:styleId="Style_18" w:type="paragraph">
    <w:name w:val="Title"/>
    <w:next w:val="Style_1"/>
    <w:link w:val="Style_18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18_ch" w:type="character">
    <w:name w:val="Title"/>
    <w:link w:val="Style_18"/>
    <w:rPr>
      <w:rFonts w:ascii="XO Thames" w:hAnsi="XO Thames"/>
      <w:b w:val="1"/>
      <w:caps w:val="1"/>
      <w:sz w:val="40"/>
    </w:rPr>
  </w:style>
  <w:style w:styleId="Style_19" w:type="paragraph">
    <w:name w:val="heading 4"/>
    <w:next w:val="Style_1"/>
    <w:link w:val="Style_19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19_ch" w:type="character">
    <w:name w:val="heading 4"/>
    <w:link w:val="Style_19"/>
    <w:rPr>
      <w:rFonts w:ascii="XO Thames" w:hAnsi="XO Thames"/>
      <w:b w:val="1"/>
      <w:sz w:val="24"/>
    </w:rPr>
  </w:style>
  <w:style w:styleId="Style_20" w:type="paragraph">
    <w:name w:val="heading 2"/>
    <w:next w:val="Style_1"/>
    <w:link w:val="Style_2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0_ch" w:type="character">
    <w:name w:val="heading 2"/>
    <w:link w:val="Style_20"/>
    <w:rPr>
      <w:rFonts w:ascii="XO Thames" w:hAnsi="XO Thames"/>
      <w:b w:val="1"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2024-04-08T12:32:43Z</dcterms:modified>
</cp:coreProperties>
</file>